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CB" w:rsidRPr="00A438DD" w:rsidRDefault="00A438DD" w:rsidP="00A438DD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72103E" w:rsidRPr="00A438DD">
        <w:rPr>
          <w:b/>
          <w:sz w:val="28"/>
          <w:szCs w:val="28"/>
          <w:lang w:val="ru-RU"/>
        </w:rPr>
        <w:t xml:space="preserve">Приложение </w:t>
      </w:r>
      <w:r w:rsidRPr="004B7F6B">
        <w:rPr>
          <w:b/>
          <w:sz w:val="28"/>
          <w:szCs w:val="28"/>
          <w:lang w:val="ru-RU"/>
        </w:rPr>
        <w:t>13</w:t>
      </w:r>
      <w:r w:rsidRPr="00A438DD">
        <w:rPr>
          <w:b/>
          <w:sz w:val="28"/>
          <w:szCs w:val="28"/>
          <w:lang w:val="ru-RU"/>
        </w:rPr>
        <w:t>.1</w:t>
      </w:r>
    </w:p>
    <w:p w:rsidR="00F32DCB" w:rsidRPr="00A438DD" w:rsidRDefault="00F32DCB" w:rsidP="00F32DCB">
      <w:pPr>
        <w:pStyle w:val="a3"/>
        <w:jc w:val="both"/>
        <w:rPr>
          <w:b/>
          <w:sz w:val="28"/>
          <w:szCs w:val="28"/>
          <w:u w:val="single"/>
          <w:lang w:val="ru-RU"/>
        </w:rPr>
      </w:pPr>
    </w:p>
    <w:p w:rsidR="00F32DCB" w:rsidRPr="00B374FA" w:rsidRDefault="00F32DCB" w:rsidP="00F32DCB">
      <w:pPr>
        <w:pStyle w:val="a3"/>
        <w:jc w:val="both"/>
        <w:rPr>
          <w:b/>
          <w:sz w:val="28"/>
          <w:szCs w:val="28"/>
          <w:lang w:val="ru-RU"/>
        </w:rPr>
      </w:pPr>
      <w:r w:rsidRPr="00B374FA">
        <w:rPr>
          <w:b/>
          <w:sz w:val="28"/>
          <w:szCs w:val="28"/>
          <w:lang w:val="ru-RU"/>
        </w:rPr>
        <w:t xml:space="preserve">           Диалогическое единство «вопрос – ответ».</w:t>
      </w:r>
    </w:p>
    <w:p w:rsidR="00F32DCB" w:rsidRPr="00B374FA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pStyle w:val="a3"/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  <w:r w:rsidRPr="00303C63">
        <w:rPr>
          <w:noProof/>
          <w:lang w:val="ru-RU" w:eastAsia="ru-RU" w:bidi="ar-SA"/>
        </w:rPr>
        <w:drawing>
          <wp:inline distT="0" distB="0" distL="0" distR="0">
            <wp:extent cx="5486400" cy="2895600"/>
            <wp:effectExtent l="19050" t="0" r="19050" b="0"/>
            <wp:docPr id="27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Pr="00D376B7" w:rsidRDefault="00F32DCB" w:rsidP="00F32DCB">
      <w:pPr>
        <w:jc w:val="both"/>
        <w:rPr>
          <w:b/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b/>
          <w:sz w:val="28"/>
          <w:szCs w:val="28"/>
          <w:lang w:val="ru-RU"/>
        </w:rPr>
      </w:pPr>
      <w:r w:rsidRPr="00D376B7">
        <w:rPr>
          <w:b/>
          <w:sz w:val="28"/>
          <w:szCs w:val="28"/>
          <w:lang w:val="ru-RU"/>
        </w:rPr>
        <w:t xml:space="preserve">         Диалогическое единство «сообщение – реакция на сообщение».</w:t>
      </w:r>
    </w:p>
    <w:p w:rsidR="00F32DCB" w:rsidRDefault="00F32DCB" w:rsidP="00F32DCB">
      <w:pPr>
        <w:jc w:val="both"/>
        <w:rPr>
          <w:b/>
          <w:sz w:val="28"/>
          <w:szCs w:val="28"/>
          <w:lang w:val="ru-RU"/>
        </w:rPr>
      </w:pPr>
    </w:p>
    <w:p w:rsidR="00F32DCB" w:rsidRPr="00D376B7" w:rsidRDefault="00F32DCB" w:rsidP="00F32DCB">
      <w:pPr>
        <w:jc w:val="both"/>
        <w:rPr>
          <w:b/>
          <w:sz w:val="28"/>
          <w:szCs w:val="28"/>
          <w:lang w:val="ru-RU"/>
        </w:rPr>
      </w:pPr>
      <w:r w:rsidRPr="00D376B7">
        <w:rPr>
          <w:lang w:val="ru-RU"/>
        </w:rPr>
        <w:t xml:space="preserve">  </w:t>
      </w:r>
      <w:r w:rsidRPr="005246AD">
        <w:rPr>
          <w:noProof/>
          <w:lang w:val="ru-RU" w:eastAsia="ru-RU" w:bidi="ar-SA"/>
        </w:rPr>
        <w:drawing>
          <wp:inline distT="0" distB="0" distL="0" distR="0">
            <wp:extent cx="5486400" cy="2990850"/>
            <wp:effectExtent l="19050" t="0" r="19050" b="0"/>
            <wp:docPr id="2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rPr>
          <w:b/>
          <w:sz w:val="28"/>
          <w:szCs w:val="28"/>
          <w:lang w:val="ru-RU"/>
        </w:rPr>
      </w:pPr>
      <w:r>
        <w:rPr>
          <w:b/>
          <w:lang w:val="ru-RU"/>
        </w:rPr>
        <w:lastRenderedPageBreak/>
        <w:t xml:space="preserve">    </w:t>
      </w:r>
      <w:r w:rsidRPr="00180799">
        <w:rPr>
          <w:b/>
          <w:lang w:val="ru-RU"/>
        </w:rPr>
        <w:t xml:space="preserve">   </w:t>
      </w:r>
      <w:r w:rsidRPr="00180799">
        <w:rPr>
          <w:b/>
          <w:sz w:val="28"/>
          <w:szCs w:val="28"/>
          <w:lang w:val="ru-RU"/>
        </w:rPr>
        <w:t>Диалогическое единство «побуждение – реакция на побуждение».</w:t>
      </w:r>
    </w:p>
    <w:p w:rsidR="00F32DCB" w:rsidRPr="00180799" w:rsidRDefault="00F32DCB" w:rsidP="00F32DCB">
      <w:pPr>
        <w:rPr>
          <w:b/>
          <w:sz w:val="28"/>
          <w:szCs w:val="28"/>
          <w:lang w:val="ru-RU"/>
        </w:rPr>
      </w:pPr>
    </w:p>
    <w:p w:rsidR="00F32DCB" w:rsidRPr="00180799" w:rsidRDefault="00F32DCB" w:rsidP="00F32DCB">
      <w:pPr>
        <w:rPr>
          <w:b/>
          <w:lang w:val="ru-RU"/>
        </w:rPr>
      </w:pPr>
    </w:p>
    <w:p w:rsidR="00F32DCB" w:rsidRDefault="00F32DCB" w:rsidP="00F32DCB">
      <w:r w:rsidRPr="00180799">
        <w:rPr>
          <w:lang w:val="ru-RU"/>
        </w:rPr>
        <w:t xml:space="preserve">  </w:t>
      </w:r>
      <w:r>
        <w:rPr>
          <w:noProof/>
          <w:lang w:val="ru-RU" w:eastAsia="ru-RU" w:bidi="ar-SA"/>
        </w:rPr>
        <w:drawing>
          <wp:inline distT="0" distB="0" distL="0" distR="0">
            <wp:extent cx="5486400" cy="3200400"/>
            <wp:effectExtent l="19050" t="0" r="19050" b="0"/>
            <wp:docPr id="3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F32DCB" w:rsidRDefault="00F32DCB" w:rsidP="00F32DCB">
      <w:pPr>
        <w:jc w:val="both"/>
        <w:rPr>
          <w:sz w:val="28"/>
          <w:szCs w:val="28"/>
          <w:lang w:val="ru-RU"/>
        </w:rPr>
      </w:pPr>
    </w:p>
    <w:p w:rsidR="00246F09" w:rsidRDefault="00246F09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Default="004B7F6B"/>
    <w:p w:rsidR="004B7F6B" w:rsidRPr="004B7F6B" w:rsidRDefault="004B7F6B" w:rsidP="004B7F6B">
      <w:pPr>
        <w:rPr>
          <w:rFonts w:ascii="Times New Roman" w:hAnsi="Times New Roman"/>
          <w:b/>
          <w:sz w:val="28"/>
          <w:szCs w:val="28"/>
          <w:lang w:val="ru-RU"/>
        </w:rPr>
      </w:pPr>
      <w:r>
        <w:lastRenderedPageBreak/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b/>
          <w:sz w:val="28"/>
          <w:szCs w:val="28"/>
          <w:lang w:val="ru-RU"/>
        </w:rPr>
        <w:t>.2</w:t>
      </w:r>
    </w:p>
    <w:p w:rsidR="004B7F6B" w:rsidRPr="0028290D" w:rsidRDefault="004B7F6B" w:rsidP="004B7F6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7F6B" w:rsidRPr="0028290D" w:rsidRDefault="004B7F6B" w:rsidP="004B7F6B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28290D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</w:t>
      </w:r>
      <w:r w:rsidRPr="0028290D">
        <w:rPr>
          <w:rFonts w:ascii="Times New Roman" w:hAnsi="Times New Roman"/>
          <w:b/>
          <w:sz w:val="32"/>
          <w:szCs w:val="32"/>
          <w:lang w:val="ru-RU"/>
        </w:rPr>
        <w:t>Социометрия взаимоотношений детей</w:t>
      </w:r>
    </w:p>
    <w:p w:rsidR="004B7F6B" w:rsidRDefault="004B7F6B" w:rsidP="004B7F6B">
      <w:pPr>
        <w:jc w:val="both"/>
        <w:rPr>
          <w:sz w:val="28"/>
          <w:szCs w:val="28"/>
          <w:lang w:val="ru-RU"/>
        </w:rPr>
      </w:pPr>
    </w:p>
    <w:p w:rsidR="004B7F6B" w:rsidRDefault="004B7F6B" w:rsidP="004B7F6B">
      <w:pPr>
        <w:jc w:val="both"/>
        <w:rPr>
          <w:sz w:val="28"/>
          <w:szCs w:val="28"/>
          <w:lang w:val="ru-RU"/>
        </w:rPr>
      </w:pPr>
    </w:p>
    <w:p w:rsidR="004B7F6B" w:rsidRDefault="00132708" w:rsidP="004B7F6B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27" type="#_x0000_t94" style="position:absolute;left:0;text-align:left;margin-left:220.2pt;margin-top:85.65pt;width:30.75pt;height:17.25pt;rotation:180;z-index:251655168" fillcolor="white [3201]" strokecolor="#f79646 [3209]" strokeweight="5pt">
            <v:stroke linestyle="thickThin"/>
            <v:shadow color="#868686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7pt;margin-top:78.9pt;width:89.25pt;height:24pt;z-index:25165619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4B7F6B" w:rsidRPr="00A3727A" w:rsidRDefault="004B7F6B" w:rsidP="004B7F6B">
                  <w:pPr>
                    <w:rPr>
                      <w:sz w:val="28"/>
                      <w:szCs w:val="28"/>
                    </w:rPr>
                  </w:pPr>
                  <w:r>
                    <w:t xml:space="preserve">  </w:t>
                  </w:r>
                  <w:proofErr w:type="gramStart"/>
                  <w:r>
                    <w:t>200</w:t>
                  </w:r>
                  <w:r>
                    <w:rPr>
                      <w:lang w:val="ru-RU"/>
                    </w:rPr>
                    <w:t>8</w:t>
                  </w:r>
                  <w:r>
                    <w:t xml:space="preserve"> -200</w:t>
                  </w:r>
                  <w:r>
                    <w:rPr>
                      <w:lang w:val="ru-RU"/>
                    </w:rPr>
                    <w:t>9</w:t>
                  </w:r>
                  <w:r w:rsidRPr="00A3727A">
                    <w:rPr>
                      <w:sz w:val="28"/>
                      <w:szCs w:val="28"/>
                    </w:rPr>
                    <w:t xml:space="preserve"> г.</w:t>
                  </w:r>
                  <w:proofErr w:type="gramEnd"/>
                </w:p>
              </w:txbxContent>
            </v:textbox>
          </v:shape>
        </w:pict>
      </w:r>
      <w:r w:rsidR="004B7F6B" w:rsidRPr="00045075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86375" cy="2428875"/>
            <wp:effectExtent l="19050" t="0" r="9525" b="0"/>
            <wp:docPr id="1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B7F6B" w:rsidRDefault="00132708" w:rsidP="004B7F6B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pict>
          <v:shape id="_x0000_s1029" type="#_x0000_t94" style="position:absolute;left:0;text-align:left;margin-left:133.95pt;margin-top:59.25pt;width:31.5pt;height:16.5pt;z-index:251657216" fillcolor="white [3201]" strokecolor="#f79646 [3209]" strokeweight="5pt">
            <v:stroke linestyle="thickThin"/>
            <v:shadow color="#868686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28" type="#_x0000_t202" style="position:absolute;left:0;text-align:left;margin-left:22.2pt;margin-top:54.75pt;width:86.25pt;height:21pt;z-index:2516582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8">
              <w:txbxContent>
                <w:p w:rsidR="004B7F6B" w:rsidRPr="000713E3" w:rsidRDefault="004B7F6B" w:rsidP="004B7F6B">
                  <w:proofErr w:type="gramStart"/>
                  <w:r>
                    <w:t>200</w:t>
                  </w:r>
                  <w:r>
                    <w:rPr>
                      <w:lang w:val="ru-RU"/>
                    </w:rPr>
                    <w:t>9</w:t>
                  </w:r>
                  <w:r>
                    <w:t xml:space="preserve"> -20</w:t>
                  </w:r>
                  <w:r>
                    <w:rPr>
                      <w:lang w:val="ru-RU"/>
                    </w:rPr>
                    <w:t>10</w:t>
                  </w:r>
                  <w:r w:rsidRPr="000713E3">
                    <w:t xml:space="preserve"> г.</w:t>
                  </w:r>
                  <w:proofErr w:type="gramEnd"/>
                </w:p>
              </w:txbxContent>
            </v:textbox>
          </v:shape>
        </w:pict>
      </w:r>
      <w:r w:rsidR="004B7F6B" w:rsidRPr="00651ECD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86375" cy="1971675"/>
            <wp:effectExtent l="19050" t="0" r="9525" b="0"/>
            <wp:docPr id="2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7F6B" w:rsidRDefault="00132708" w:rsidP="004B7F6B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pict>
          <v:shape id="_x0000_s1031" type="#_x0000_t94" style="position:absolute;left:0;text-align:left;margin-left:197.7pt;margin-top:51pt;width:40.5pt;height:18pt;rotation:180;z-index:251659264" fillcolor="white [3201]" strokecolor="#f79646 [3209]" strokeweight="5pt">
            <v:stroke linestyle="thickThin"/>
            <v:shadow color="#868686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30" type="#_x0000_t202" style="position:absolute;left:0;text-align:left;margin-left:267.05pt;margin-top:44.25pt;width:94.5pt;height:24.75pt;z-index:25166028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30">
              <w:txbxContent>
                <w:p w:rsidR="004B7F6B" w:rsidRDefault="004B7F6B" w:rsidP="004B7F6B">
                  <w:r>
                    <w:t>20</w:t>
                  </w:r>
                  <w:r>
                    <w:rPr>
                      <w:lang w:val="ru-RU"/>
                    </w:rPr>
                    <w:t>10</w:t>
                  </w:r>
                  <w:r>
                    <w:t xml:space="preserve"> – 2 01</w:t>
                  </w:r>
                  <w:r>
                    <w:rPr>
                      <w:lang w:val="ru-RU"/>
                    </w:rPr>
                    <w:t>1</w:t>
                  </w:r>
                  <w:r>
                    <w:t xml:space="preserve"> г.</w:t>
                  </w:r>
                </w:p>
              </w:txbxContent>
            </v:textbox>
          </v:shape>
        </w:pict>
      </w:r>
      <w:r w:rsidR="004B7F6B" w:rsidRPr="00996B0F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86375" cy="2352675"/>
            <wp:effectExtent l="19050" t="0" r="9525" b="0"/>
            <wp:docPr id="4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7F6B" w:rsidRDefault="004B7F6B" w:rsidP="004B7F6B">
      <w:pPr>
        <w:jc w:val="both"/>
        <w:rPr>
          <w:sz w:val="28"/>
          <w:szCs w:val="28"/>
          <w:lang w:val="ru-RU"/>
        </w:rPr>
      </w:pPr>
    </w:p>
    <w:p w:rsidR="004B7F6B" w:rsidRDefault="004B7F6B" w:rsidP="004B7F6B">
      <w:pPr>
        <w:jc w:val="both"/>
        <w:rPr>
          <w:sz w:val="28"/>
          <w:szCs w:val="28"/>
          <w:lang w:val="ru-RU"/>
        </w:rPr>
      </w:pPr>
    </w:p>
    <w:p w:rsidR="004B7F6B" w:rsidRPr="0028290D" w:rsidRDefault="004B7F6B" w:rsidP="004B7F6B">
      <w:pPr>
        <w:rPr>
          <w:lang w:val="ru-RU"/>
        </w:rPr>
      </w:pPr>
    </w:p>
    <w:p w:rsidR="004B7F6B" w:rsidRDefault="004B7F6B">
      <w:pPr>
        <w:rPr>
          <w:lang w:val="ru-RU"/>
        </w:rPr>
      </w:pPr>
    </w:p>
    <w:p w:rsidR="004B7F6B" w:rsidRDefault="004B7F6B">
      <w:pPr>
        <w:rPr>
          <w:lang w:val="ru-RU"/>
        </w:rPr>
      </w:pPr>
    </w:p>
    <w:p w:rsidR="004B7F6B" w:rsidRDefault="004B7F6B">
      <w:pPr>
        <w:rPr>
          <w:lang w:val="ru-RU"/>
        </w:rPr>
      </w:pPr>
    </w:p>
    <w:p w:rsidR="004B7F6B" w:rsidRDefault="004B7F6B">
      <w:pPr>
        <w:rPr>
          <w:lang w:val="ru-RU"/>
        </w:rPr>
      </w:pPr>
    </w:p>
    <w:p w:rsidR="00276FAA" w:rsidRPr="00276FAA" w:rsidRDefault="00276FAA" w:rsidP="00276FAA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                                                                                              </w:t>
      </w:r>
      <w:r w:rsidRPr="004C3C19"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  <w:lang w:val="ru-RU"/>
        </w:rPr>
        <w:t>13.3</w:t>
      </w:r>
    </w:p>
    <w:p w:rsidR="00276FAA" w:rsidRPr="004C3C19" w:rsidRDefault="00276FAA" w:rsidP="00276FAA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276FAA" w:rsidRPr="004C3C19" w:rsidRDefault="00276FAA" w:rsidP="00276FAA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</w:t>
      </w:r>
      <w:r w:rsidRPr="004C3C19">
        <w:rPr>
          <w:rFonts w:ascii="Times New Roman" w:hAnsi="Times New Roman"/>
          <w:b/>
          <w:sz w:val="32"/>
          <w:szCs w:val="32"/>
          <w:lang w:val="ru-RU"/>
        </w:rPr>
        <w:t xml:space="preserve"> Обследование речевого развития детей</w:t>
      </w:r>
    </w:p>
    <w:p w:rsidR="00276FAA" w:rsidRPr="005B6334" w:rsidRDefault="00276FAA" w:rsidP="00276FAA">
      <w:pPr>
        <w:jc w:val="both"/>
        <w:rPr>
          <w:b/>
          <w:sz w:val="28"/>
          <w:szCs w:val="28"/>
          <w:lang w:val="ru-RU"/>
        </w:rPr>
      </w:pPr>
    </w:p>
    <w:p w:rsidR="00276FAA" w:rsidRPr="005B6334" w:rsidRDefault="00276FAA" w:rsidP="00276FA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</w:p>
    <w:p w:rsidR="00276FAA" w:rsidRDefault="00276FAA" w:rsidP="00276FAA">
      <w:r>
        <w:rPr>
          <w:noProof/>
          <w:lang w:val="ru-RU" w:eastAsia="ru-RU" w:bidi="ar-SA"/>
        </w:rPr>
        <w:drawing>
          <wp:inline distT="0" distB="0" distL="0" distR="0">
            <wp:extent cx="5486400" cy="2962275"/>
            <wp:effectExtent l="19050" t="0" r="19050" b="0"/>
            <wp:docPr id="1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76FAA" w:rsidRDefault="00276FAA" w:rsidP="00276FAA">
      <w:pPr>
        <w:jc w:val="both"/>
        <w:rPr>
          <w:sz w:val="28"/>
          <w:szCs w:val="28"/>
          <w:lang w:val="ru-RU"/>
        </w:rPr>
      </w:pPr>
    </w:p>
    <w:p w:rsidR="00276FAA" w:rsidRDefault="00276FAA" w:rsidP="00276FAA">
      <w:pPr>
        <w:jc w:val="both"/>
        <w:rPr>
          <w:sz w:val="28"/>
          <w:szCs w:val="28"/>
          <w:lang w:val="ru-RU"/>
        </w:rPr>
      </w:pPr>
    </w:p>
    <w:p w:rsidR="00276FAA" w:rsidRDefault="00276FAA" w:rsidP="00276FAA"/>
    <w:p w:rsidR="004B7F6B" w:rsidRPr="004B7F6B" w:rsidRDefault="004B7F6B">
      <w:pPr>
        <w:rPr>
          <w:lang w:val="ru-RU"/>
        </w:rPr>
      </w:pPr>
    </w:p>
    <w:sectPr w:rsidR="004B7F6B" w:rsidRPr="004B7F6B" w:rsidSect="0024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DCB"/>
    <w:rsid w:val="00132708"/>
    <w:rsid w:val="00246F09"/>
    <w:rsid w:val="00260577"/>
    <w:rsid w:val="00276FAA"/>
    <w:rsid w:val="003F7D35"/>
    <w:rsid w:val="004057AB"/>
    <w:rsid w:val="004B7F6B"/>
    <w:rsid w:val="0072103E"/>
    <w:rsid w:val="00840AB8"/>
    <w:rsid w:val="00A438DD"/>
    <w:rsid w:val="00BD4AC0"/>
    <w:rsid w:val="00D86F35"/>
    <w:rsid w:val="00F3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C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D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D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DCB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0.74000000000000055</c:v>
                </c:pt>
                <c:pt idx="1">
                  <c:v>0.88000000000000023</c:v>
                </c:pt>
                <c:pt idx="2">
                  <c:v>0.63000000000000056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0.26</c:v>
                </c:pt>
                <c:pt idx="1">
                  <c:v>0.12000000000000002</c:v>
                </c:pt>
                <c:pt idx="2">
                  <c:v>0.30000000000000027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 formatCode="0%">
                  <c:v>7.0000000000000034E-2</c:v>
                </c:pt>
              </c:numCache>
            </c:numRef>
          </c:val>
        </c:ser>
        <c:shape val="cylinder"/>
        <c:axId val="74967680"/>
        <c:axId val="76982912"/>
        <c:axId val="0"/>
      </c:bar3DChart>
      <c:catAx>
        <c:axId val="74967680"/>
        <c:scaling>
          <c:orientation val="minMax"/>
        </c:scaling>
        <c:axPos val="b"/>
        <c:tickLblPos val="nextTo"/>
        <c:crossAx val="76982912"/>
        <c:crosses val="autoZero"/>
        <c:auto val="1"/>
        <c:lblAlgn val="ctr"/>
        <c:lblOffset val="100"/>
      </c:catAx>
      <c:valAx>
        <c:axId val="76982912"/>
        <c:scaling>
          <c:orientation val="minMax"/>
        </c:scaling>
        <c:axPos val="l"/>
        <c:majorGridlines/>
        <c:numFmt formatCode="0%" sourceLinked="1"/>
        <c:tickLblPos val="nextTo"/>
        <c:crossAx val="749676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0.51</c:v>
                </c:pt>
                <c:pt idx="1">
                  <c:v>0.64000000000000068</c:v>
                </c:pt>
                <c:pt idx="2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2D050"/>
            </a:solidFill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0.35000000000000026</c:v>
                </c:pt>
                <c:pt idx="1">
                  <c:v>0.36000000000000026</c:v>
                </c:pt>
                <c:pt idx="2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B0F0"/>
            </a:solidFill>
            <a:effectLst>
              <a:outerShdw blurRad="50800" dist="38100" dir="18900000" algn="bl" rotWithShape="0">
                <a:prstClr val="black">
                  <a:alpha val="40000"/>
                </a:prstClr>
              </a:outerShdw>
            </a:effectLst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 formatCode="0%">
                  <c:v>0.14000000000000001</c:v>
                </c:pt>
                <c:pt idx="2" formatCode="0%">
                  <c:v>0.14000000000000001</c:v>
                </c:pt>
              </c:numCache>
            </c:numRef>
          </c:val>
        </c:ser>
        <c:dLbls>
          <c:showVal val="1"/>
        </c:dLbls>
        <c:shape val="cylinder"/>
        <c:axId val="78259712"/>
        <c:axId val="78261248"/>
        <c:axId val="0"/>
      </c:bar3DChart>
      <c:catAx>
        <c:axId val="78259712"/>
        <c:scaling>
          <c:orientation val="minMax"/>
        </c:scaling>
        <c:axPos val="b"/>
        <c:tickLblPos val="nextTo"/>
        <c:crossAx val="78261248"/>
        <c:crosses val="autoZero"/>
        <c:auto val="1"/>
        <c:lblAlgn val="ctr"/>
        <c:lblOffset val="100"/>
      </c:catAx>
      <c:valAx>
        <c:axId val="78261248"/>
        <c:scaling>
          <c:orientation val="minMax"/>
        </c:scaling>
        <c:axPos val="l"/>
        <c:majorGridlines/>
        <c:numFmt formatCode="0%" sourceLinked="1"/>
        <c:tickLblPos val="nextTo"/>
        <c:crossAx val="782597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0.51</c:v>
                </c:pt>
                <c:pt idx="1">
                  <c:v>0.56999999999999995</c:v>
                </c:pt>
                <c:pt idx="2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0.41000000000000025</c:v>
                </c:pt>
                <c:pt idx="1">
                  <c:v>0.36000000000000026</c:v>
                </c:pt>
                <c:pt idx="2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0.14000000000000001</c:v>
                </c:pt>
                <c:pt idx="1">
                  <c:v>7.0000000000000021E-2</c:v>
                </c:pt>
                <c:pt idx="2">
                  <c:v>0.14000000000000001</c:v>
                </c:pt>
              </c:numCache>
            </c:numRef>
          </c:val>
        </c:ser>
        <c:shape val="cylinder"/>
        <c:axId val="79103104"/>
        <c:axId val="79105024"/>
        <c:axId val="0"/>
      </c:bar3DChart>
      <c:catAx>
        <c:axId val="79103104"/>
        <c:scaling>
          <c:orientation val="minMax"/>
        </c:scaling>
        <c:axPos val="b"/>
        <c:tickLblPos val="nextTo"/>
        <c:crossAx val="79105024"/>
        <c:crosses val="autoZero"/>
        <c:auto val="1"/>
        <c:lblAlgn val="ctr"/>
        <c:lblOffset val="100"/>
      </c:catAx>
      <c:valAx>
        <c:axId val="79105024"/>
        <c:scaling>
          <c:orientation val="minMax"/>
        </c:scaling>
        <c:axPos val="l"/>
        <c:majorGridlines/>
        <c:numFmt formatCode="0%" sourceLinked="1"/>
        <c:tickLblPos val="nextTo"/>
        <c:crossAx val="791031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9.268014471164078E-2"/>
          <c:y val="0.32679738562091531"/>
          <c:w val="0.37590387139108372"/>
          <c:h val="0.47222222222222232"/>
        </c:manualLayout>
      </c:layout>
      <c:pie3DChart>
        <c:varyColors val="1"/>
        <c:ser>
          <c:idx val="1"/>
          <c:order val="1"/>
          <c:tx>
            <c:strRef>
              <c:f>Лист1!$B$1</c:f>
              <c:strCache>
                <c:ptCount val="1"/>
                <c:pt idx="0">
                  <c:v>2007 -2008 г.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лидеры</c:v>
                </c:pt>
                <c:pt idx="1">
                  <c:v>предпочитаемые</c:v>
                </c:pt>
                <c:pt idx="2">
                  <c:v>принятые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0.51</c:v>
                </c:pt>
                <c:pt idx="1">
                  <c:v>0.28000000000000008</c:v>
                </c:pt>
                <c:pt idx="2">
                  <c:v>0.21000000000000021</c:v>
                </c:pt>
              </c:numCache>
            </c:numRef>
          </c:val>
        </c:ser>
        <c:ser>
          <c:idx val="0"/>
          <c:order val="0"/>
          <c:tx>
            <c:strRef>
              <c:f>Лист1!$B$1</c:f>
              <c:strCache>
                <c:ptCount val="1"/>
                <c:pt idx="0">
                  <c:v>2007 -2008 г.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Pos val="ctr"/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лидеры</c:v>
                </c:pt>
                <c:pt idx="1">
                  <c:v>предпочитаемые</c:v>
                </c:pt>
                <c:pt idx="2">
                  <c:v>принятые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0.51</c:v>
                </c:pt>
                <c:pt idx="1">
                  <c:v>0.28000000000000008</c:v>
                </c:pt>
                <c:pt idx="2">
                  <c:v>0.21000000000000021</c:v>
                </c:pt>
              </c:numCache>
            </c:numRef>
          </c:val>
        </c:ser>
        <c:dLbls>
          <c:showVal val="1"/>
        </c:dLbls>
      </c:pie3DChart>
    </c:plotArea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38993904140360836"/>
          <c:y val="0.12368569870795162"/>
          <c:w val="0.57288501099524713"/>
          <c:h val="0.6207042235662576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dLblPos val="ctr"/>
              <c:showVal val="1"/>
            </c:dLbl>
            <c:dLbl>
              <c:idx val="1"/>
              <c:dLblPos val="ctr"/>
              <c:showVal val="1"/>
            </c:dLbl>
            <c:dLbl>
              <c:idx val="2"/>
              <c:dLblPos val="ctr"/>
              <c:showVal val="1"/>
            </c:dLbl>
            <c:delete val="1"/>
          </c:dLbls>
          <c:cat>
            <c:strRef>
              <c:f>Лист1!$A$2:$A$5</c:f>
              <c:strCache>
                <c:ptCount val="3"/>
                <c:pt idx="0">
                  <c:v>лидеры</c:v>
                </c:pt>
                <c:pt idx="1">
                  <c:v>предпочитаемеы</c:v>
                </c:pt>
                <c:pt idx="2">
                  <c:v>прнятые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0.58000000000000007</c:v>
                </c:pt>
                <c:pt idx="1">
                  <c:v>0.38000000000000417</c:v>
                </c:pt>
                <c:pt idx="2">
                  <c:v>0.14000000000000001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8591189614812001E-2"/>
          <c:y val="6.0661162293984355E-2"/>
          <c:w val="0.4726526211250659"/>
          <c:h val="0.520195522118446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Pt>
            <c:idx val="3"/>
            <c:spPr>
              <a:solidFill>
                <a:srgbClr val="0070C0"/>
              </a:solidFill>
            </c:spPr>
          </c:dPt>
          <c:dLbls>
            <c:dLbl>
              <c:idx val="0"/>
              <c:dLblPos val="ctr"/>
              <c:showVal val="1"/>
            </c:dLbl>
            <c:dLbl>
              <c:idx val="1"/>
              <c:dLblPos val="ctr"/>
              <c:showVal val="1"/>
            </c:dLbl>
            <c:dLbl>
              <c:idx val="2"/>
              <c:dLblPos val="ctr"/>
              <c:showVal val="1"/>
            </c:dLbl>
            <c:dLbl>
              <c:idx val="3"/>
              <c:dLblPos val="ctr"/>
              <c:showVal val="1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лидеры</c:v>
                </c:pt>
                <c:pt idx="1">
                  <c:v>предпочитаемые</c:v>
                </c:pt>
                <c:pt idx="2">
                  <c:v>принятые</c:v>
                </c:pt>
                <c:pt idx="3">
                  <c:v>отверженный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0.42000000000000032</c:v>
                </c:pt>
                <c:pt idx="1">
                  <c:v>0.35000000000000031</c:v>
                </c:pt>
                <c:pt idx="2">
                  <c:v>0.21000000000000021</c:v>
                </c:pt>
                <c:pt idx="3">
                  <c:v>7.0000000000000021E-2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3874779454651549"/>
          <c:y val="0.70476992490742252"/>
          <c:w val="0.20974427675707527"/>
          <c:h val="0.29136617741513432"/>
        </c:manualLayout>
      </c:layout>
    </c:legend>
    <c:plotVisOnly val="1"/>
  </c:chart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8.6957932341790681E-2"/>
          <c:y val="5.6173717835109868E-2"/>
          <c:w val="0.7501033464566933"/>
          <c:h val="0.8131473276451376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0.71000000000000008</c:v>
                </c:pt>
                <c:pt idx="1">
                  <c:v>0.71000000000000008</c:v>
                </c:pt>
                <c:pt idx="2">
                  <c:v>0.65000000000000013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2D050"/>
            </a:solidFill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0.39000000000000007</c:v>
                </c:pt>
                <c:pt idx="1">
                  <c:v>0.21000000000000002</c:v>
                </c:pt>
                <c:pt idx="2">
                  <c:v>0.28000000000000008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Лист1!$A$2:$A$5</c:f>
              <c:strCache>
                <c:ptCount val="3"/>
                <c:pt idx="0">
                  <c:v>2008-2009</c:v>
                </c:pt>
                <c:pt idx="1">
                  <c:v>2009-2010</c:v>
                </c:pt>
                <c:pt idx="2">
                  <c:v>2010-2011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1">
                  <c:v>7.0000000000000021E-2</c:v>
                </c:pt>
                <c:pt idx="2">
                  <c:v>7.0000000000000021E-2</c:v>
                </c:pt>
              </c:numCache>
            </c:numRef>
          </c:val>
        </c:ser>
        <c:dLbls>
          <c:showVal val="1"/>
        </c:dLbls>
        <c:shape val="box"/>
        <c:axId val="74924416"/>
        <c:axId val="74925952"/>
        <c:axId val="0"/>
      </c:bar3DChart>
      <c:catAx>
        <c:axId val="74924416"/>
        <c:scaling>
          <c:orientation val="minMax"/>
        </c:scaling>
        <c:axPos val="b"/>
        <c:tickLblPos val="nextTo"/>
        <c:crossAx val="74925952"/>
        <c:crosses val="autoZero"/>
        <c:auto val="1"/>
        <c:lblAlgn val="ctr"/>
        <c:lblOffset val="100"/>
      </c:catAx>
      <c:valAx>
        <c:axId val="74925952"/>
        <c:scaling>
          <c:orientation val="minMax"/>
        </c:scaling>
        <c:axPos val="l"/>
        <c:majorGridlines/>
        <c:numFmt formatCode="0%" sourceLinked="1"/>
        <c:tickLblPos val="nextTo"/>
        <c:crossAx val="749244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0.25174</cdr:x>
      <cdr:y>0.27976</cdr:y>
    </cdr:from>
    <cdr:to>
      <cdr:x>0.4184</cdr:x>
      <cdr:y>0.56548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81125" y="89535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0.16146</cdr:x>
      <cdr:y>0.12202</cdr:y>
    </cdr:from>
    <cdr:to>
      <cdr:x>0.32813</cdr:x>
      <cdr:y>0.40774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885825" y="3905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0.66493</cdr:x>
      <cdr:y>0.87202</cdr:y>
    </cdr:from>
    <cdr:to>
      <cdr:x>0.875</cdr:x>
      <cdr:y>0.97917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648074" y="2790825"/>
          <a:ext cx="1152525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/>
        </a:p>
      </cdr:txBody>
    </cdr:sp>
  </cdr:relSizeAnchor>
  <cdr:relSizeAnchor xmlns:cdr="http://schemas.openxmlformats.org/drawingml/2006/chartDrawing">
    <cdr:from>
      <cdr:x>0.61632</cdr:x>
      <cdr:y>0.71429</cdr:y>
    </cdr:from>
    <cdr:to>
      <cdr:x>0.78299</cdr:x>
      <cdr:y>1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3381375" y="29718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0.25174</cdr:x>
      <cdr:y>0.27976</cdr:y>
    </cdr:from>
    <cdr:to>
      <cdr:x>0.4184</cdr:x>
      <cdr:y>0.56548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1381125" y="89535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0.16146</cdr:x>
      <cdr:y>0.12202</cdr:y>
    </cdr:from>
    <cdr:to>
      <cdr:x>0.32813</cdr:x>
      <cdr:y>0.40774</cdr:y>
    </cdr:to>
    <cdr:sp macro="" textlink="">
      <cdr:nvSpPr>
        <cdr:cNvPr id="7" name="TextBox 2"/>
        <cdr:cNvSpPr txBox="1"/>
      </cdr:nvSpPr>
      <cdr:spPr>
        <a:xfrm xmlns:a="http://schemas.openxmlformats.org/drawingml/2006/main">
          <a:off x="885825" y="3905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0.66493</cdr:x>
      <cdr:y>0.87202</cdr:y>
    </cdr:from>
    <cdr:to>
      <cdr:x>0.875</cdr:x>
      <cdr:y>0.97917</cdr:y>
    </cdr:to>
    <cdr:sp macro="" textlink="">
      <cdr:nvSpPr>
        <cdr:cNvPr id="8" name="TextBox 3"/>
        <cdr:cNvSpPr txBox="1"/>
      </cdr:nvSpPr>
      <cdr:spPr>
        <a:xfrm xmlns:a="http://schemas.openxmlformats.org/drawingml/2006/main">
          <a:off x="3648074" y="2790825"/>
          <a:ext cx="1152525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/>
        </a:p>
      </cdr:txBody>
    </cdr:sp>
  </cdr:relSizeAnchor>
  <cdr:relSizeAnchor xmlns:cdr="http://schemas.openxmlformats.org/drawingml/2006/chartDrawing">
    <cdr:from>
      <cdr:x>0.61632</cdr:x>
      <cdr:y>0.71429</cdr:y>
    </cdr:from>
    <cdr:to>
      <cdr:x>0.78299</cdr:x>
      <cdr:y>1</cdr:y>
    </cdr:to>
    <cdr:sp macro="" textlink="">
      <cdr:nvSpPr>
        <cdr:cNvPr id="9" name="TextBox 4"/>
        <cdr:cNvSpPr txBox="1"/>
      </cdr:nvSpPr>
      <cdr:spPr>
        <a:xfrm xmlns:a="http://schemas.openxmlformats.org/drawingml/2006/main">
          <a:off x="3381375" y="29718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0.15625</cdr:x>
      <cdr:y>0.09217</cdr:y>
    </cdr:from>
    <cdr:to>
      <cdr:x>0.375</cdr:x>
      <cdr:y>0.2765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57250" y="190501"/>
          <a:ext cx="1200150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0.07292</cdr:x>
      <cdr:y>0.15207</cdr:y>
    </cdr:from>
    <cdr:to>
      <cdr:x>0.23958</cdr:x>
      <cdr:y>0.59447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00050" y="3143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0.06597</cdr:x>
      <cdr:y>0.5576</cdr:y>
    </cdr:from>
    <cdr:to>
      <cdr:x>0.23264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61950" y="18002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2012-02-13T11:53:00Z</dcterms:created>
  <dcterms:modified xsi:type="dcterms:W3CDTF">2012-12-16T16:23:00Z</dcterms:modified>
</cp:coreProperties>
</file>